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B9" w:rsidRPr="002B42DF" w:rsidRDefault="00CF3AB9" w:rsidP="00CF3AB9">
      <w:pPr>
        <w:pStyle w:val="Header"/>
        <w:rPr>
          <w:rFonts w:ascii="Cambria" w:hAnsi="Cambria"/>
        </w:rPr>
      </w:pPr>
      <w:r w:rsidRPr="002B42DF">
        <w:rPr>
          <w:rFonts w:ascii="Cambria" w:hAnsi="Cambria"/>
          <w:sz w:val="20"/>
        </w:rPr>
        <w:t>Indian Journal of Basic and Applied Medical Research; June 2015: Vol.</w:t>
      </w:r>
      <w:r>
        <w:rPr>
          <w:rFonts w:ascii="Cambria" w:hAnsi="Cambria"/>
          <w:sz w:val="20"/>
        </w:rPr>
        <w:t>-4, Issue- 3, P. 2</w:t>
      </w:r>
      <w:r w:rsidR="009A4BB6">
        <w:rPr>
          <w:rFonts w:ascii="Cambria" w:hAnsi="Cambria"/>
          <w:sz w:val="20"/>
        </w:rPr>
        <w:t>65-271</w:t>
      </w:r>
    </w:p>
    <w:p w:rsidR="009A4BB6" w:rsidRDefault="009A4BB6" w:rsidP="009A4BB6">
      <w:pPr>
        <w:spacing w:after="0" w:line="360" w:lineRule="auto"/>
        <w:rPr>
          <w:rFonts w:asciiTheme="majorHAnsi" w:hAnsiTheme="majorHAnsi" w:cs="Times New Roman"/>
          <w:b/>
          <w:bCs/>
          <w:color w:val="000000"/>
          <w:sz w:val="24"/>
          <w:szCs w:val="24"/>
          <w:highlight w:val="lightGray"/>
        </w:rPr>
      </w:pPr>
    </w:p>
    <w:p w:rsidR="009A4BB6" w:rsidRPr="00164CA9" w:rsidRDefault="009A4BB6" w:rsidP="009A4BB6">
      <w:pPr>
        <w:spacing w:after="0" w:line="360" w:lineRule="auto"/>
        <w:rPr>
          <w:rFonts w:asciiTheme="majorHAnsi" w:hAnsiTheme="majorHAnsi" w:cs="Times New Roman"/>
          <w:b/>
          <w:bCs/>
          <w:color w:val="1F497D" w:themeColor="text2"/>
          <w:sz w:val="28"/>
          <w:szCs w:val="28"/>
        </w:rPr>
      </w:pPr>
      <w:r w:rsidRPr="00164CA9">
        <w:rPr>
          <w:rFonts w:asciiTheme="majorHAnsi" w:hAnsiTheme="majorHAnsi" w:cs="Times New Roman"/>
          <w:b/>
          <w:bCs/>
          <w:color w:val="000000"/>
          <w:sz w:val="24"/>
          <w:szCs w:val="24"/>
          <w:highlight w:val="lightGray"/>
        </w:rPr>
        <w:t>Original article</w:t>
      </w:r>
      <w:r w:rsidRPr="00164CA9">
        <w:rPr>
          <w:rFonts w:asciiTheme="majorHAnsi" w:hAnsiTheme="majorHAnsi" w:cs="Times New Roman"/>
          <w:b/>
          <w:bCs/>
          <w:color w:val="000000"/>
          <w:sz w:val="24"/>
          <w:szCs w:val="24"/>
        </w:rPr>
        <w:t xml:space="preserve"> </w:t>
      </w:r>
      <w:r w:rsidRPr="00164CA9">
        <w:rPr>
          <w:rFonts w:asciiTheme="majorHAnsi" w:hAnsiTheme="majorHAnsi" w:cs="Times New Roman"/>
          <w:b/>
          <w:bCs/>
          <w:color w:val="000000"/>
          <w:sz w:val="24"/>
          <w:szCs w:val="24"/>
        </w:rPr>
        <w:br/>
      </w:r>
      <w:proofErr w:type="gramStart"/>
      <w:r w:rsidRPr="00164CA9">
        <w:rPr>
          <w:rFonts w:asciiTheme="majorHAnsi" w:hAnsiTheme="majorHAnsi" w:cs="Times New Roman"/>
          <w:b/>
          <w:bCs/>
          <w:color w:val="1F497D" w:themeColor="text2"/>
          <w:sz w:val="28"/>
          <w:szCs w:val="28"/>
        </w:rPr>
        <w:t>Does</w:t>
      </w:r>
      <w:proofErr w:type="gramEnd"/>
      <w:r w:rsidRPr="00164CA9">
        <w:rPr>
          <w:rFonts w:asciiTheme="majorHAnsi" w:hAnsiTheme="majorHAnsi" w:cs="Times New Roman"/>
          <w:b/>
          <w:bCs/>
          <w:color w:val="1F497D" w:themeColor="text2"/>
          <w:sz w:val="28"/>
          <w:szCs w:val="28"/>
        </w:rPr>
        <w:t xml:space="preserve"> the thyroid hormonal levels alter in polycystic ovarian disease? A comparative cross sectional study</w:t>
      </w:r>
    </w:p>
    <w:p w:rsidR="009A4BB6" w:rsidRPr="00164CA9" w:rsidRDefault="009A4BB6" w:rsidP="009A4BB6">
      <w:pPr>
        <w:spacing w:after="0" w:line="360" w:lineRule="auto"/>
        <w:jc w:val="both"/>
        <w:rPr>
          <w:rFonts w:asciiTheme="majorHAnsi" w:hAnsiTheme="majorHAnsi" w:cs="Times New Roman"/>
          <w:b/>
          <w:bCs/>
          <w:color w:val="000000"/>
          <w:vertAlign w:val="superscript"/>
        </w:rPr>
      </w:pPr>
      <w:proofErr w:type="spellStart"/>
      <w:r w:rsidRPr="00164CA9">
        <w:rPr>
          <w:rFonts w:asciiTheme="majorHAnsi" w:hAnsiTheme="majorHAnsi" w:cs="Times New Roman"/>
          <w:b/>
          <w:bCs/>
          <w:color w:val="000000"/>
        </w:rPr>
        <w:t>Archana</w:t>
      </w:r>
      <w:proofErr w:type="spellEnd"/>
      <w:r w:rsidRPr="00164CA9">
        <w:rPr>
          <w:rFonts w:asciiTheme="majorHAnsi" w:hAnsiTheme="majorHAnsi" w:cs="Times New Roman"/>
          <w:b/>
          <w:bCs/>
          <w:color w:val="000000"/>
        </w:rPr>
        <w:t xml:space="preserve"> Shirsath</w:t>
      </w:r>
      <w:r w:rsidRPr="00164CA9">
        <w:rPr>
          <w:rFonts w:asciiTheme="majorHAnsi" w:hAnsiTheme="majorHAnsi" w:cs="Times New Roman"/>
          <w:b/>
          <w:bCs/>
          <w:color w:val="000000"/>
          <w:vertAlign w:val="superscript"/>
        </w:rPr>
        <w:t>1</w:t>
      </w:r>
      <w:r w:rsidRPr="00164CA9">
        <w:rPr>
          <w:rFonts w:asciiTheme="majorHAnsi" w:hAnsiTheme="majorHAnsi" w:cs="Times New Roman"/>
          <w:b/>
          <w:bCs/>
          <w:color w:val="000000"/>
        </w:rPr>
        <w:t xml:space="preserve">, </w:t>
      </w:r>
      <w:proofErr w:type="spellStart"/>
      <w:proofErr w:type="gramStart"/>
      <w:r w:rsidRPr="00164CA9">
        <w:rPr>
          <w:rFonts w:asciiTheme="majorHAnsi" w:hAnsiTheme="majorHAnsi" w:cs="Times New Roman"/>
          <w:b/>
          <w:bCs/>
          <w:color w:val="000000"/>
        </w:rPr>
        <w:t>Neela</w:t>
      </w:r>
      <w:proofErr w:type="spellEnd"/>
      <w:r w:rsidRPr="00164CA9">
        <w:rPr>
          <w:rFonts w:asciiTheme="majorHAnsi" w:hAnsiTheme="majorHAnsi" w:cs="Times New Roman"/>
          <w:b/>
          <w:bCs/>
          <w:color w:val="000000"/>
        </w:rPr>
        <w:t xml:space="preserve">  Aundhakar</w:t>
      </w:r>
      <w:r w:rsidRPr="00164CA9">
        <w:rPr>
          <w:rFonts w:asciiTheme="majorHAnsi" w:hAnsiTheme="majorHAnsi" w:cs="Times New Roman"/>
          <w:b/>
          <w:bCs/>
          <w:color w:val="000000"/>
          <w:vertAlign w:val="superscript"/>
        </w:rPr>
        <w:t>2</w:t>
      </w:r>
      <w:proofErr w:type="gramEnd"/>
      <w:r w:rsidRPr="00164CA9">
        <w:rPr>
          <w:rFonts w:asciiTheme="majorHAnsi" w:hAnsiTheme="majorHAnsi" w:cs="Times New Roman"/>
          <w:b/>
          <w:bCs/>
          <w:color w:val="000000"/>
          <w:vertAlign w:val="superscript"/>
        </w:rPr>
        <w:t xml:space="preserve"> </w:t>
      </w:r>
      <w:r w:rsidRPr="00164CA9">
        <w:rPr>
          <w:rFonts w:asciiTheme="majorHAnsi" w:hAnsiTheme="majorHAnsi" w:cs="Times New Roman"/>
          <w:b/>
          <w:bCs/>
          <w:color w:val="000000"/>
        </w:rPr>
        <w:t xml:space="preserve">, </w:t>
      </w:r>
      <w:proofErr w:type="spellStart"/>
      <w:r w:rsidRPr="00164CA9">
        <w:rPr>
          <w:rFonts w:asciiTheme="majorHAnsi" w:hAnsiTheme="majorHAnsi" w:cs="Times New Roman"/>
          <w:b/>
          <w:bCs/>
          <w:color w:val="000000"/>
        </w:rPr>
        <w:t>Prathmesh</w:t>
      </w:r>
      <w:proofErr w:type="spellEnd"/>
      <w:r w:rsidRPr="00164CA9">
        <w:rPr>
          <w:rFonts w:asciiTheme="majorHAnsi" w:hAnsiTheme="majorHAnsi" w:cs="Times New Roman"/>
          <w:b/>
          <w:bCs/>
          <w:color w:val="000000"/>
        </w:rPr>
        <w:t xml:space="preserve"> Kamble</w:t>
      </w:r>
      <w:r w:rsidRPr="00164CA9">
        <w:rPr>
          <w:rFonts w:asciiTheme="majorHAnsi" w:hAnsiTheme="majorHAnsi" w:cs="Times New Roman"/>
          <w:b/>
          <w:bCs/>
          <w:color w:val="000000"/>
          <w:vertAlign w:val="superscript"/>
        </w:rPr>
        <w:t>3</w:t>
      </w:r>
    </w:p>
    <w:p w:rsidR="009A4BB6" w:rsidRPr="00164CA9" w:rsidRDefault="009A4BB6" w:rsidP="009A4BB6">
      <w:pPr>
        <w:spacing w:after="0" w:line="360" w:lineRule="auto"/>
        <w:jc w:val="both"/>
        <w:rPr>
          <w:rFonts w:asciiTheme="majorHAnsi" w:hAnsiTheme="majorHAnsi" w:cs="Times New Roman"/>
          <w:bCs/>
          <w:color w:val="000000"/>
          <w:sz w:val="18"/>
          <w:szCs w:val="18"/>
        </w:rPr>
      </w:pPr>
    </w:p>
    <w:p w:rsidR="009A4BB6" w:rsidRPr="00164CA9" w:rsidRDefault="009A4BB6" w:rsidP="009A4BB6">
      <w:pPr>
        <w:spacing w:after="0" w:line="360" w:lineRule="auto"/>
        <w:jc w:val="both"/>
        <w:rPr>
          <w:rFonts w:asciiTheme="majorHAnsi" w:hAnsiTheme="majorHAnsi" w:cs="Times New Roman"/>
          <w:bCs/>
          <w:color w:val="000000"/>
          <w:sz w:val="18"/>
          <w:szCs w:val="18"/>
        </w:rPr>
      </w:pPr>
      <w:r w:rsidRPr="00164CA9">
        <w:rPr>
          <w:rFonts w:asciiTheme="majorHAnsi" w:hAnsiTheme="majorHAnsi" w:cs="Times New Roman"/>
          <w:bCs/>
          <w:color w:val="000000"/>
          <w:sz w:val="18"/>
          <w:szCs w:val="18"/>
          <w:vertAlign w:val="superscript"/>
        </w:rPr>
        <w:t>1</w:t>
      </w:r>
      <w:r w:rsidRPr="00164CA9">
        <w:rPr>
          <w:rFonts w:asciiTheme="majorHAnsi" w:hAnsiTheme="majorHAnsi" w:cs="Times New Roman"/>
          <w:bCs/>
          <w:color w:val="000000"/>
          <w:sz w:val="18"/>
          <w:szCs w:val="18"/>
        </w:rPr>
        <w:t xml:space="preserve"> Assistant Professor, Physiology, RCSM Govern</w:t>
      </w:r>
      <w:r>
        <w:rPr>
          <w:rFonts w:asciiTheme="majorHAnsi" w:hAnsiTheme="majorHAnsi" w:cs="Times New Roman"/>
          <w:bCs/>
          <w:color w:val="000000"/>
          <w:sz w:val="18"/>
          <w:szCs w:val="18"/>
        </w:rPr>
        <w:t xml:space="preserve">ment Medical </w:t>
      </w:r>
      <w:proofErr w:type="gramStart"/>
      <w:r>
        <w:rPr>
          <w:rFonts w:asciiTheme="majorHAnsi" w:hAnsiTheme="majorHAnsi" w:cs="Times New Roman"/>
          <w:bCs/>
          <w:color w:val="000000"/>
          <w:sz w:val="18"/>
          <w:szCs w:val="18"/>
        </w:rPr>
        <w:t>college</w:t>
      </w:r>
      <w:proofErr w:type="gramEnd"/>
      <w:r>
        <w:rPr>
          <w:rFonts w:asciiTheme="majorHAnsi" w:hAnsiTheme="majorHAnsi" w:cs="Times New Roman"/>
          <w:bCs/>
          <w:color w:val="000000"/>
          <w:sz w:val="18"/>
          <w:szCs w:val="18"/>
        </w:rPr>
        <w:t>, Kolhapur</w:t>
      </w:r>
    </w:p>
    <w:p w:rsidR="009A4BB6" w:rsidRPr="00164CA9" w:rsidRDefault="009A4BB6" w:rsidP="009A4BB6">
      <w:pPr>
        <w:spacing w:after="0" w:line="360" w:lineRule="auto"/>
        <w:jc w:val="both"/>
        <w:rPr>
          <w:rFonts w:asciiTheme="majorHAnsi" w:hAnsiTheme="majorHAnsi" w:cs="Times New Roman"/>
          <w:bCs/>
          <w:color w:val="000000"/>
          <w:sz w:val="18"/>
          <w:szCs w:val="18"/>
        </w:rPr>
      </w:pPr>
      <w:r w:rsidRPr="00164CA9">
        <w:rPr>
          <w:rFonts w:asciiTheme="majorHAnsi" w:hAnsiTheme="majorHAnsi" w:cs="Times New Roman"/>
          <w:bCs/>
          <w:color w:val="000000"/>
          <w:sz w:val="18"/>
          <w:szCs w:val="18"/>
          <w:vertAlign w:val="superscript"/>
        </w:rPr>
        <w:t xml:space="preserve">2 </w:t>
      </w:r>
      <w:proofErr w:type="gramStart"/>
      <w:r w:rsidRPr="00164CA9">
        <w:rPr>
          <w:rFonts w:asciiTheme="majorHAnsi" w:hAnsiTheme="majorHAnsi" w:cs="Times New Roman"/>
          <w:bCs/>
          <w:color w:val="000000"/>
          <w:sz w:val="18"/>
          <w:szCs w:val="18"/>
        </w:rPr>
        <w:t>Professor &amp;</w:t>
      </w:r>
      <w:proofErr w:type="gramEnd"/>
      <w:r w:rsidRPr="00164CA9">
        <w:rPr>
          <w:rFonts w:asciiTheme="majorHAnsi" w:hAnsiTheme="majorHAnsi" w:cs="Times New Roman"/>
          <w:bCs/>
          <w:color w:val="000000"/>
          <w:sz w:val="18"/>
          <w:szCs w:val="18"/>
        </w:rPr>
        <w:t xml:space="preserve"> Head, Department of Physiology, RCSM Gover</w:t>
      </w:r>
      <w:r>
        <w:rPr>
          <w:rFonts w:asciiTheme="majorHAnsi" w:hAnsiTheme="majorHAnsi" w:cs="Times New Roman"/>
          <w:bCs/>
          <w:color w:val="000000"/>
          <w:sz w:val="18"/>
          <w:szCs w:val="18"/>
        </w:rPr>
        <w:t>nment Medical college, Kolhapur</w:t>
      </w:r>
    </w:p>
    <w:p w:rsidR="009A4BB6" w:rsidRPr="00164CA9" w:rsidRDefault="009A4BB6" w:rsidP="009A4BB6">
      <w:pPr>
        <w:spacing w:after="0" w:line="360" w:lineRule="auto"/>
        <w:jc w:val="both"/>
        <w:rPr>
          <w:rFonts w:asciiTheme="majorHAnsi" w:hAnsiTheme="majorHAnsi" w:cs="Times New Roman"/>
          <w:bCs/>
          <w:color w:val="000000"/>
          <w:sz w:val="18"/>
          <w:szCs w:val="18"/>
        </w:rPr>
      </w:pPr>
      <w:r w:rsidRPr="00164CA9">
        <w:rPr>
          <w:rFonts w:asciiTheme="majorHAnsi" w:hAnsiTheme="majorHAnsi" w:cs="Times New Roman"/>
          <w:bCs/>
          <w:color w:val="000000"/>
          <w:sz w:val="18"/>
          <w:szCs w:val="18"/>
          <w:vertAlign w:val="superscript"/>
        </w:rPr>
        <w:t xml:space="preserve"> 3</w:t>
      </w:r>
      <w:r w:rsidRPr="00164CA9">
        <w:rPr>
          <w:rFonts w:asciiTheme="majorHAnsi" w:hAnsiTheme="majorHAnsi" w:cs="Times New Roman"/>
          <w:bCs/>
          <w:color w:val="000000"/>
          <w:sz w:val="18"/>
          <w:szCs w:val="18"/>
        </w:rPr>
        <w:t xml:space="preserve"> Assistant Professor, Physiology, B.J. Medical College and </w:t>
      </w:r>
      <w:r>
        <w:rPr>
          <w:rFonts w:asciiTheme="majorHAnsi" w:hAnsiTheme="majorHAnsi" w:cs="Times New Roman"/>
          <w:bCs/>
          <w:color w:val="000000"/>
          <w:sz w:val="18"/>
          <w:szCs w:val="18"/>
        </w:rPr>
        <w:t xml:space="preserve">Sassoon General Hospitals, </w:t>
      </w:r>
      <w:proofErr w:type="spellStart"/>
      <w:r>
        <w:rPr>
          <w:rFonts w:asciiTheme="majorHAnsi" w:hAnsiTheme="majorHAnsi" w:cs="Times New Roman"/>
          <w:bCs/>
          <w:color w:val="000000"/>
          <w:sz w:val="18"/>
          <w:szCs w:val="18"/>
        </w:rPr>
        <w:t>Pune</w:t>
      </w:r>
      <w:proofErr w:type="spellEnd"/>
    </w:p>
    <w:p w:rsidR="009A4BB6" w:rsidRDefault="009A4BB6" w:rsidP="009A4BB6">
      <w:pPr>
        <w:pBdr>
          <w:bottom w:val="single" w:sz="6" w:space="1" w:color="auto"/>
        </w:pBdr>
        <w:spacing w:after="0" w:line="360" w:lineRule="auto"/>
        <w:jc w:val="both"/>
        <w:rPr>
          <w:rFonts w:asciiTheme="majorHAnsi" w:hAnsiTheme="majorHAnsi" w:cs="Times New Roman"/>
          <w:sz w:val="18"/>
          <w:szCs w:val="18"/>
        </w:rPr>
      </w:pPr>
      <w:r w:rsidRPr="00164CA9">
        <w:rPr>
          <w:rFonts w:asciiTheme="majorHAnsi" w:hAnsiTheme="majorHAnsi" w:cs="Times New Roman"/>
          <w:sz w:val="18"/>
          <w:szCs w:val="18"/>
        </w:rPr>
        <w:t xml:space="preserve">Correspondence to: Dr. </w:t>
      </w:r>
      <w:proofErr w:type="spellStart"/>
      <w:r w:rsidRPr="00164CA9">
        <w:rPr>
          <w:rFonts w:asciiTheme="majorHAnsi" w:hAnsiTheme="majorHAnsi" w:cs="Times New Roman"/>
          <w:sz w:val="18"/>
          <w:szCs w:val="18"/>
        </w:rPr>
        <w:t>Archana</w:t>
      </w:r>
      <w:proofErr w:type="spellEnd"/>
      <w:r w:rsidRPr="00164CA9">
        <w:rPr>
          <w:rFonts w:asciiTheme="majorHAnsi" w:hAnsiTheme="majorHAnsi" w:cs="Times New Roman"/>
          <w:sz w:val="18"/>
          <w:szCs w:val="18"/>
        </w:rPr>
        <w:t xml:space="preserve"> </w:t>
      </w:r>
      <w:proofErr w:type="spellStart"/>
      <w:r w:rsidRPr="00164CA9">
        <w:rPr>
          <w:rFonts w:asciiTheme="majorHAnsi" w:hAnsiTheme="majorHAnsi" w:cs="Times New Roman"/>
          <w:sz w:val="18"/>
          <w:szCs w:val="18"/>
        </w:rPr>
        <w:t>Shirsath</w:t>
      </w:r>
      <w:proofErr w:type="spellEnd"/>
      <w:r w:rsidRPr="00164CA9">
        <w:rPr>
          <w:rFonts w:asciiTheme="majorHAnsi" w:hAnsiTheme="majorHAnsi" w:cs="Times New Roman"/>
          <w:sz w:val="18"/>
          <w:szCs w:val="18"/>
        </w:rPr>
        <w:t xml:space="preserve"> </w:t>
      </w:r>
    </w:p>
    <w:p w:rsidR="009A4BB6" w:rsidRPr="00164CA9" w:rsidRDefault="009A4BB6" w:rsidP="009A4BB6">
      <w:pPr>
        <w:spacing w:after="0" w:line="360" w:lineRule="auto"/>
        <w:jc w:val="both"/>
        <w:rPr>
          <w:rFonts w:asciiTheme="majorHAnsi" w:hAnsiTheme="majorHAnsi" w:cs="Times New Roman"/>
          <w:sz w:val="18"/>
          <w:szCs w:val="18"/>
        </w:rPr>
      </w:pPr>
    </w:p>
    <w:p w:rsidR="009A4BB6" w:rsidRPr="00164CA9" w:rsidRDefault="009A4BB6" w:rsidP="009A4BB6">
      <w:pPr>
        <w:spacing w:after="0" w:line="360" w:lineRule="auto"/>
        <w:rPr>
          <w:rFonts w:ascii="Times New Roman" w:hAnsi="Times New Roman" w:cs="Times New Roman"/>
          <w:b/>
          <w:sz w:val="20"/>
          <w:szCs w:val="20"/>
        </w:rPr>
      </w:pPr>
      <w:r w:rsidRPr="00164CA9">
        <w:rPr>
          <w:rFonts w:ascii="Times New Roman" w:hAnsi="Times New Roman" w:cs="Times New Roman"/>
          <w:b/>
          <w:sz w:val="20"/>
          <w:szCs w:val="20"/>
        </w:rPr>
        <w:t>Abstract</w:t>
      </w:r>
    </w:p>
    <w:p w:rsidR="009A4BB6" w:rsidRPr="00164CA9" w:rsidRDefault="009A4BB6" w:rsidP="009A4BB6">
      <w:pPr>
        <w:spacing w:after="0" w:line="360" w:lineRule="auto"/>
        <w:jc w:val="both"/>
        <w:rPr>
          <w:rFonts w:ascii="Times New Roman" w:hAnsi="Times New Roman" w:cs="Times New Roman"/>
          <w:sz w:val="18"/>
          <w:szCs w:val="18"/>
        </w:rPr>
      </w:pPr>
      <w:r w:rsidRPr="00164CA9">
        <w:rPr>
          <w:rFonts w:ascii="Times New Roman" w:hAnsi="Times New Roman" w:cs="Times New Roman"/>
          <w:b/>
          <w:sz w:val="18"/>
          <w:szCs w:val="18"/>
        </w:rPr>
        <w:t>Background:</w:t>
      </w:r>
      <w:r w:rsidRPr="00164CA9">
        <w:rPr>
          <w:rFonts w:ascii="Times New Roman" w:hAnsi="Times New Roman" w:cs="Times New Roman"/>
          <w:sz w:val="18"/>
          <w:szCs w:val="18"/>
        </w:rPr>
        <w:t xml:space="preserve"> Polycystic ovarian disease (PCOD) is an intense problem which manifests later as infertility, obesity, insulin resistance, </w:t>
      </w:r>
      <w:proofErr w:type="spellStart"/>
      <w:r w:rsidRPr="00164CA9">
        <w:rPr>
          <w:rFonts w:ascii="Times New Roman" w:hAnsi="Times New Roman" w:cs="Times New Roman"/>
          <w:sz w:val="18"/>
          <w:szCs w:val="18"/>
        </w:rPr>
        <w:t>dyslipidemia</w:t>
      </w:r>
      <w:proofErr w:type="spellEnd"/>
      <w:r w:rsidRPr="00164CA9">
        <w:rPr>
          <w:rFonts w:ascii="Times New Roman" w:hAnsi="Times New Roman" w:cs="Times New Roman"/>
          <w:sz w:val="18"/>
          <w:szCs w:val="18"/>
        </w:rPr>
        <w:t xml:space="preserve">, endothelial dysfunction and overt diabetes mellitus. PCOD is often associated with abnormalities of other endocrine glands. Women with PCOD may be four times more likely to suffer from hypothyroidism.1 Hypothyroidism can aggravate PCOD symptoms. It can lead to low levels of sex hormone binding globulin (SHBG) which in turn can lead to higher concentrations of free testosterone throughout the body. High level of testosterone is one of the factors which </w:t>
      </w:r>
      <w:proofErr w:type="gramStart"/>
      <w:r w:rsidRPr="00164CA9">
        <w:rPr>
          <w:rFonts w:ascii="Times New Roman" w:hAnsi="Times New Roman" w:cs="Times New Roman"/>
          <w:sz w:val="18"/>
          <w:szCs w:val="18"/>
        </w:rPr>
        <w:t>contributes</w:t>
      </w:r>
      <w:proofErr w:type="gramEnd"/>
      <w:r w:rsidRPr="00164CA9">
        <w:rPr>
          <w:rFonts w:ascii="Times New Roman" w:hAnsi="Times New Roman" w:cs="Times New Roman"/>
          <w:sz w:val="18"/>
          <w:szCs w:val="18"/>
        </w:rPr>
        <w:t xml:space="preserve"> to PCOD symptoms like infertility, polycystic ovaries, </w:t>
      </w:r>
      <w:proofErr w:type="spellStart"/>
      <w:r w:rsidRPr="00164CA9">
        <w:rPr>
          <w:rFonts w:ascii="Times New Roman" w:hAnsi="Times New Roman" w:cs="Times New Roman"/>
          <w:sz w:val="18"/>
          <w:szCs w:val="18"/>
        </w:rPr>
        <w:t>hirsutism</w:t>
      </w:r>
      <w:proofErr w:type="spellEnd"/>
      <w:r w:rsidRPr="00164CA9">
        <w:rPr>
          <w:rFonts w:ascii="Times New Roman" w:hAnsi="Times New Roman" w:cs="Times New Roman"/>
          <w:sz w:val="18"/>
          <w:szCs w:val="18"/>
        </w:rPr>
        <w:t xml:space="preserve">, male pattern hair loss and </w:t>
      </w:r>
      <w:proofErr w:type="spellStart"/>
      <w:r w:rsidRPr="00164CA9">
        <w:rPr>
          <w:rFonts w:ascii="Times New Roman" w:hAnsi="Times New Roman" w:cs="Times New Roman"/>
          <w:sz w:val="18"/>
          <w:szCs w:val="18"/>
        </w:rPr>
        <w:t>acne.The</w:t>
      </w:r>
      <w:proofErr w:type="spellEnd"/>
      <w:r w:rsidRPr="00164CA9">
        <w:rPr>
          <w:rFonts w:ascii="Times New Roman" w:hAnsi="Times New Roman" w:cs="Times New Roman"/>
          <w:sz w:val="18"/>
          <w:szCs w:val="18"/>
        </w:rPr>
        <w:t xml:space="preserve"> study was undertaken to assess thyroid hormonal levels (</w:t>
      </w:r>
      <w:proofErr w:type="spellStart"/>
      <w:r w:rsidRPr="00164CA9">
        <w:rPr>
          <w:rFonts w:ascii="Times New Roman" w:hAnsi="Times New Roman" w:cs="Times New Roman"/>
          <w:sz w:val="18"/>
          <w:szCs w:val="18"/>
        </w:rPr>
        <w:t>Triiodothyronine</w:t>
      </w:r>
      <w:proofErr w:type="spellEnd"/>
      <w:r w:rsidRPr="00164CA9">
        <w:rPr>
          <w:rFonts w:ascii="Times New Roman" w:hAnsi="Times New Roman" w:cs="Times New Roman"/>
          <w:sz w:val="18"/>
          <w:szCs w:val="18"/>
        </w:rPr>
        <w:t xml:space="preserve">, </w:t>
      </w:r>
      <w:proofErr w:type="spellStart"/>
      <w:r w:rsidRPr="00164CA9">
        <w:rPr>
          <w:rFonts w:ascii="Times New Roman" w:hAnsi="Times New Roman" w:cs="Times New Roman"/>
          <w:sz w:val="18"/>
          <w:szCs w:val="18"/>
        </w:rPr>
        <w:t>Thyroxine</w:t>
      </w:r>
      <w:proofErr w:type="spellEnd"/>
      <w:r w:rsidRPr="00164CA9">
        <w:rPr>
          <w:rFonts w:ascii="Times New Roman" w:hAnsi="Times New Roman" w:cs="Times New Roman"/>
          <w:sz w:val="18"/>
          <w:szCs w:val="18"/>
        </w:rPr>
        <w:t xml:space="preserve"> and Thyroid stimulating hormone) in polycystic ovarian disease patients and compare it with age and gender matched healthy females. </w:t>
      </w:r>
    </w:p>
    <w:p w:rsidR="009A4BB6" w:rsidRPr="00164CA9" w:rsidRDefault="009A4BB6" w:rsidP="009A4BB6">
      <w:pPr>
        <w:spacing w:after="0" w:line="360" w:lineRule="auto"/>
        <w:jc w:val="both"/>
        <w:rPr>
          <w:rFonts w:ascii="Times New Roman" w:hAnsi="Times New Roman" w:cs="Times New Roman"/>
          <w:sz w:val="18"/>
          <w:szCs w:val="18"/>
        </w:rPr>
      </w:pPr>
      <w:r w:rsidRPr="00164CA9">
        <w:rPr>
          <w:rFonts w:ascii="Times New Roman" w:hAnsi="Times New Roman" w:cs="Times New Roman"/>
          <w:b/>
          <w:sz w:val="18"/>
          <w:szCs w:val="18"/>
        </w:rPr>
        <w:t>Study methodology:</w:t>
      </w:r>
      <w:r w:rsidRPr="00164CA9">
        <w:rPr>
          <w:rFonts w:ascii="Times New Roman" w:hAnsi="Times New Roman" w:cs="Times New Roman"/>
          <w:sz w:val="18"/>
          <w:szCs w:val="18"/>
        </w:rPr>
        <w:t xml:space="preserve"> Thyroid hormone level were measured in 60 Subjects within the age group of 20 to 30 years were selected and divided into two groups. Group I consisted of 30 diagnosed female patients of PCOD and Group II comprised of 30 age matched control group with normal menstrual cycles. We measured Thyroid stimulating hormone (TSH</w:t>
      </w:r>
      <w:proofErr w:type="gramStart"/>
      <w:r w:rsidRPr="00164CA9">
        <w:rPr>
          <w:rFonts w:ascii="Times New Roman" w:hAnsi="Times New Roman" w:cs="Times New Roman"/>
          <w:sz w:val="18"/>
          <w:szCs w:val="18"/>
        </w:rPr>
        <w:t>) ,</w:t>
      </w:r>
      <w:proofErr w:type="gramEnd"/>
      <w:r w:rsidRPr="00164CA9">
        <w:rPr>
          <w:rFonts w:ascii="Times New Roman" w:hAnsi="Times New Roman" w:cs="Times New Roman"/>
          <w:sz w:val="18"/>
          <w:szCs w:val="18"/>
        </w:rPr>
        <w:t>Total T3 (Tri-</w:t>
      </w:r>
      <w:proofErr w:type="spellStart"/>
      <w:r w:rsidRPr="00164CA9">
        <w:rPr>
          <w:rFonts w:ascii="Times New Roman" w:hAnsi="Times New Roman" w:cs="Times New Roman"/>
          <w:sz w:val="18"/>
          <w:szCs w:val="18"/>
        </w:rPr>
        <w:t>iodothyronine</w:t>
      </w:r>
      <w:proofErr w:type="spellEnd"/>
      <w:r w:rsidRPr="00164CA9">
        <w:rPr>
          <w:rFonts w:ascii="Times New Roman" w:hAnsi="Times New Roman" w:cs="Times New Roman"/>
          <w:sz w:val="18"/>
          <w:szCs w:val="18"/>
        </w:rPr>
        <w:t xml:space="preserve"> ),Total T4 ( </w:t>
      </w:r>
      <w:proofErr w:type="spellStart"/>
      <w:r w:rsidRPr="00164CA9">
        <w:rPr>
          <w:rFonts w:ascii="Times New Roman" w:hAnsi="Times New Roman" w:cs="Times New Roman"/>
          <w:sz w:val="18"/>
          <w:szCs w:val="18"/>
        </w:rPr>
        <w:t>Thyroxine</w:t>
      </w:r>
      <w:proofErr w:type="spellEnd"/>
      <w:r w:rsidRPr="00164CA9">
        <w:rPr>
          <w:rFonts w:ascii="Times New Roman" w:hAnsi="Times New Roman" w:cs="Times New Roman"/>
          <w:sz w:val="18"/>
          <w:szCs w:val="18"/>
        </w:rPr>
        <w:t xml:space="preserve"> ) In the present study, Thyroid function test (TFT) was done by using Enzyme linked </w:t>
      </w:r>
      <w:proofErr w:type="spellStart"/>
      <w:r w:rsidRPr="00164CA9">
        <w:rPr>
          <w:rFonts w:ascii="Times New Roman" w:hAnsi="Times New Roman" w:cs="Times New Roman"/>
          <w:sz w:val="18"/>
          <w:szCs w:val="18"/>
        </w:rPr>
        <w:t>immumosorbant</w:t>
      </w:r>
      <w:proofErr w:type="spellEnd"/>
      <w:r w:rsidRPr="00164CA9">
        <w:rPr>
          <w:rFonts w:ascii="Times New Roman" w:hAnsi="Times New Roman" w:cs="Times New Roman"/>
          <w:sz w:val="18"/>
          <w:szCs w:val="18"/>
        </w:rPr>
        <w:t xml:space="preserve"> assay (ELISA) method. The T3 ELISA Kit, T4 ELISA Kit and TSH ELISA Kit used in the study, were intended for the quantitative measurement of total T3, total T4 and TSH in human serum by a </w:t>
      </w:r>
      <w:proofErr w:type="spellStart"/>
      <w:r w:rsidRPr="00164CA9">
        <w:rPr>
          <w:rFonts w:ascii="Times New Roman" w:hAnsi="Times New Roman" w:cs="Times New Roman"/>
          <w:sz w:val="18"/>
          <w:szCs w:val="18"/>
        </w:rPr>
        <w:t>microplate</w:t>
      </w:r>
      <w:proofErr w:type="spellEnd"/>
      <w:r w:rsidRPr="00164CA9">
        <w:rPr>
          <w:rFonts w:ascii="Times New Roman" w:hAnsi="Times New Roman" w:cs="Times New Roman"/>
          <w:sz w:val="18"/>
          <w:szCs w:val="18"/>
        </w:rPr>
        <w:t xml:space="preserve"> </w:t>
      </w:r>
      <w:proofErr w:type="spellStart"/>
      <w:r w:rsidRPr="00164CA9">
        <w:rPr>
          <w:rFonts w:ascii="Times New Roman" w:hAnsi="Times New Roman" w:cs="Times New Roman"/>
          <w:sz w:val="18"/>
          <w:szCs w:val="18"/>
        </w:rPr>
        <w:t>immunoenzymatic</w:t>
      </w:r>
      <w:proofErr w:type="spellEnd"/>
      <w:r w:rsidRPr="00164CA9">
        <w:rPr>
          <w:rFonts w:ascii="Times New Roman" w:hAnsi="Times New Roman" w:cs="Times New Roman"/>
          <w:sz w:val="18"/>
          <w:szCs w:val="18"/>
        </w:rPr>
        <w:t xml:space="preserve"> assay. These kits are manufactured by LDN, Labor </w:t>
      </w:r>
      <w:proofErr w:type="spellStart"/>
      <w:r w:rsidRPr="00164CA9">
        <w:rPr>
          <w:rFonts w:ascii="Times New Roman" w:hAnsi="Times New Roman" w:cs="Times New Roman"/>
          <w:sz w:val="18"/>
          <w:szCs w:val="18"/>
        </w:rPr>
        <w:t>Diagnostika</w:t>
      </w:r>
      <w:proofErr w:type="spellEnd"/>
      <w:r w:rsidRPr="00164CA9">
        <w:rPr>
          <w:rFonts w:ascii="Times New Roman" w:hAnsi="Times New Roman" w:cs="Times New Roman"/>
          <w:sz w:val="18"/>
          <w:szCs w:val="18"/>
        </w:rPr>
        <w:t xml:space="preserve"> Nord </w:t>
      </w:r>
      <w:proofErr w:type="spellStart"/>
      <w:r w:rsidRPr="00164CA9">
        <w:rPr>
          <w:rFonts w:ascii="Times New Roman" w:hAnsi="Times New Roman" w:cs="Times New Roman"/>
          <w:sz w:val="18"/>
          <w:szCs w:val="18"/>
        </w:rPr>
        <w:t>GmBH</w:t>
      </w:r>
      <w:proofErr w:type="spellEnd"/>
      <w:r w:rsidRPr="00164CA9">
        <w:rPr>
          <w:rFonts w:ascii="Times New Roman" w:hAnsi="Times New Roman" w:cs="Times New Roman"/>
          <w:sz w:val="18"/>
          <w:szCs w:val="18"/>
        </w:rPr>
        <w:t xml:space="preserve"> and Co.KG, Am </w:t>
      </w:r>
      <w:proofErr w:type="spellStart"/>
      <w:r w:rsidRPr="00164CA9">
        <w:rPr>
          <w:rFonts w:ascii="Times New Roman" w:hAnsi="Times New Roman" w:cs="Times New Roman"/>
          <w:sz w:val="18"/>
          <w:szCs w:val="18"/>
        </w:rPr>
        <w:t>Eichenhain</w:t>
      </w:r>
      <w:proofErr w:type="spellEnd"/>
      <w:r w:rsidRPr="00164CA9">
        <w:rPr>
          <w:rFonts w:ascii="Times New Roman" w:hAnsi="Times New Roman" w:cs="Times New Roman"/>
          <w:sz w:val="18"/>
          <w:szCs w:val="18"/>
        </w:rPr>
        <w:t xml:space="preserve"> 1, </w:t>
      </w:r>
      <w:proofErr w:type="spellStart"/>
      <w:r w:rsidRPr="00164CA9">
        <w:rPr>
          <w:rFonts w:ascii="Times New Roman" w:hAnsi="Times New Roman" w:cs="Times New Roman"/>
          <w:sz w:val="18"/>
          <w:szCs w:val="18"/>
        </w:rPr>
        <w:t>Nordhorn</w:t>
      </w:r>
      <w:proofErr w:type="spellEnd"/>
      <w:r w:rsidRPr="00164CA9">
        <w:rPr>
          <w:rFonts w:ascii="Times New Roman" w:hAnsi="Times New Roman" w:cs="Times New Roman"/>
          <w:sz w:val="18"/>
          <w:szCs w:val="18"/>
        </w:rPr>
        <w:t xml:space="preserve">. Serum T3, T4 and TSH levels were estimated on </w:t>
      </w:r>
      <w:proofErr w:type="spellStart"/>
      <w:r w:rsidRPr="00164CA9">
        <w:rPr>
          <w:rFonts w:ascii="Times New Roman" w:hAnsi="Times New Roman" w:cs="Times New Roman"/>
          <w:sz w:val="18"/>
          <w:szCs w:val="18"/>
        </w:rPr>
        <w:t>Erba</w:t>
      </w:r>
      <w:proofErr w:type="spellEnd"/>
      <w:r w:rsidRPr="00164CA9">
        <w:rPr>
          <w:rFonts w:ascii="Times New Roman" w:hAnsi="Times New Roman" w:cs="Times New Roman"/>
          <w:sz w:val="18"/>
          <w:szCs w:val="18"/>
        </w:rPr>
        <w:t xml:space="preserve"> Mannheim Company’s ELISA washer and reader machine named </w:t>
      </w:r>
      <w:proofErr w:type="spellStart"/>
      <w:r w:rsidRPr="00164CA9">
        <w:rPr>
          <w:rFonts w:ascii="Times New Roman" w:hAnsi="Times New Roman" w:cs="Times New Roman"/>
          <w:sz w:val="18"/>
          <w:szCs w:val="18"/>
        </w:rPr>
        <w:t>Erba</w:t>
      </w:r>
      <w:proofErr w:type="spellEnd"/>
      <w:r w:rsidRPr="00164CA9">
        <w:rPr>
          <w:rFonts w:ascii="Times New Roman" w:hAnsi="Times New Roman" w:cs="Times New Roman"/>
          <w:sz w:val="18"/>
          <w:szCs w:val="18"/>
        </w:rPr>
        <w:t xml:space="preserve"> Lisa Wash and </w:t>
      </w:r>
      <w:proofErr w:type="spellStart"/>
      <w:r w:rsidRPr="00164CA9">
        <w:rPr>
          <w:rFonts w:ascii="Times New Roman" w:hAnsi="Times New Roman" w:cs="Times New Roman"/>
          <w:sz w:val="18"/>
          <w:szCs w:val="18"/>
        </w:rPr>
        <w:t>Erba</w:t>
      </w:r>
      <w:proofErr w:type="spellEnd"/>
      <w:r w:rsidRPr="00164CA9">
        <w:rPr>
          <w:rFonts w:ascii="Times New Roman" w:hAnsi="Times New Roman" w:cs="Times New Roman"/>
          <w:sz w:val="18"/>
          <w:szCs w:val="18"/>
        </w:rPr>
        <w:t xml:space="preserve"> Lisa II. Thyroid hormonal levels were compared by applying unpaired t test </w:t>
      </w:r>
    </w:p>
    <w:p w:rsidR="009A4BB6" w:rsidRPr="00164CA9" w:rsidRDefault="009A4BB6" w:rsidP="009A4BB6">
      <w:pPr>
        <w:spacing w:after="0" w:line="360" w:lineRule="auto"/>
        <w:jc w:val="both"/>
        <w:rPr>
          <w:rFonts w:ascii="Times New Roman" w:hAnsi="Times New Roman" w:cs="Times New Roman"/>
          <w:sz w:val="18"/>
          <w:szCs w:val="18"/>
        </w:rPr>
      </w:pPr>
      <w:r w:rsidRPr="00164CA9">
        <w:rPr>
          <w:rFonts w:ascii="Times New Roman" w:hAnsi="Times New Roman" w:cs="Times New Roman"/>
          <w:b/>
          <w:sz w:val="18"/>
          <w:szCs w:val="18"/>
        </w:rPr>
        <w:t xml:space="preserve">Results: </w:t>
      </w:r>
      <w:r w:rsidRPr="00164CA9">
        <w:rPr>
          <w:rFonts w:ascii="Times New Roman" w:hAnsi="Times New Roman" w:cs="Times New Roman"/>
          <w:sz w:val="18"/>
          <w:szCs w:val="18"/>
        </w:rPr>
        <w:t xml:space="preserve">The TSH levels were significantly increased in PCOD patients compared with the healthy controls, while Total T3 and Total T4 levels were normal in both group. </w:t>
      </w:r>
    </w:p>
    <w:p w:rsidR="009A4BB6" w:rsidRPr="00164CA9" w:rsidRDefault="009A4BB6" w:rsidP="009A4BB6">
      <w:pPr>
        <w:spacing w:after="0" w:line="360" w:lineRule="auto"/>
        <w:jc w:val="both"/>
        <w:rPr>
          <w:rFonts w:ascii="Times New Roman" w:hAnsi="Times New Roman" w:cs="Times New Roman"/>
          <w:sz w:val="18"/>
          <w:szCs w:val="18"/>
        </w:rPr>
      </w:pPr>
      <w:r w:rsidRPr="00164CA9">
        <w:rPr>
          <w:rFonts w:ascii="Times New Roman" w:hAnsi="Times New Roman" w:cs="Times New Roman"/>
          <w:b/>
          <w:sz w:val="18"/>
          <w:szCs w:val="18"/>
        </w:rPr>
        <w:t>Conclusion:</w:t>
      </w:r>
      <w:r w:rsidRPr="00164CA9">
        <w:rPr>
          <w:rFonts w:ascii="Times New Roman" w:hAnsi="Times New Roman" w:cs="Times New Roman"/>
          <w:sz w:val="18"/>
          <w:szCs w:val="18"/>
        </w:rPr>
        <w:t xml:space="preserve"> In present study, polycystic ovarian disease patients had subclinical hypothyroidism and probable reason for this is unopposed estrogen which stimulates autoimmune reaction like generation of Thyroid </w:t>
      </w:r>
      <w:proofErr w:type="spellStart"/>
      <w:r w:rsidRPr="00164CA9">
        <w:rPr>
          <w:rFonts w:ascii="Times New Roman" w:hAnsi="Times New Roman" w:cs="Times New Roman"/>
          <w:sz w:val="18"/>
          <w:szCs w:val="18"/>
        </w:rPr>
        <w:t>Peroxidase</w:t>
      </w:r>
      <w:proofErr w:type="spellEnd"/>
      <w:r w:rsidRPr="00164CA9">
        <w:rPr>
          <w:rFonts w:ascii="Times New Roman" w:hAnsi="Times New Roman" w:cs="Times New Roman"/>
          <w:sz w:val="18"/>
          <w:szCs w:val="18"/>
        </w:rPr>
        <w:t xml:space="preserve"> (TPO) antibodies and it may lead to subclinical hypothyroidism in polycystic ovarian disease. Mild hypothyroidism can be difficult to diagnose and is often overlooked. Therefore all patients having polycystic ovarian disease should be subjected to analysis of thyroid hormonal profile so that this common treatable disorder is not missed and is treated in time.</w:t>
      </w:r>
    </w:p>
    <w:p w:rsidR="009A4BB6" w:rsidRPr="00164CA9" w:rsidRDefault="009A4BB6" w:rsidP="009A4BB6">
      <w:pPr>
        <w:pBdr>
          <w:bottom w:val="single" w:sz="6" w:space="1" w:color="auto"/>
        </w:pBdr>
        <w:spacing w:after="0" w:line="360" w:lineRule="auto"/>
        <w:jc w:val="both"/>
        <w:rPr>
          <w:rFonts w:ascii="Times New Roman" w:hAnsi="Times New Roman" w:cs="Times New Roman"/>
          <w:sz w:val="18"/>
          <w:szCs w:val="18"/>
        </w:rPr>
      </w:pPr>
      <w:r w:rsidRPr="00164CA9">
        <w:rPr>
          <w:rFonts w:ascii="Times New Roman" w:hAnsi="Times New Roman" w:cs="Times New Roman"/>
          <w:b/>
          <w:sz w:val="18"/>
          <w:szCs w:val="18"/>
        </w:rPr>
        <w:t>Key word:</w:t>
      </w:r>
      <w:r w:rsidRPr="00164CA9">
        <w:rPr>
          <w:rFonts w:ascii="Times New Roman" w:hAnsi="Times New Roman" w:cs="Times New Roman"/>
          <w:sz w:val="18"/>
          <w:szCs w:val="18"/>
        </w:rPr>
        <w:t xml:space="preserve"> Polycystic ovarian disease, Thyroid stimulating hormone</w:t>
      </w:r>
    </w:p>
    <w:p w:rsidR="009A4BB6" w:rsidRDefault="009A4BB6" w:rsidP="009A4BB6">
      <w:pPr>
        <w:spacing w:after="0" w:line="360" w:lineRule="auto"/>
        <w:rPr>
          <w:rFonts w:ascii="Times New Roman" w:hAnsi="Times New Roman" w:cs="Times New Roman"/>
          <w:sz w:val="20"/>
          <w:szCs w:val="20"/>
        </w:rPr>
      </w:pPr>
    </w:p>
    <w:p w:rsidR="0006104F" w:rsidRDefault="0006104F" w:rsidP="009A4BB6">
      <w:pPr>
        <w:pStyle w:val="Header"/>
      </w:pPr>
    </w:p>
    <w:sectPr w:rsidR="0006104F"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PS-DV-Priyank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3AB9"/>
    <w:rsid w:val="000061B3"/>
    <w:rsid w:val="0006104F"/>
    <w:rsid w:val="00274F00"/>
    <w:rsid w:val="00425932"/>
    <w:rsid w:val="009A4BB6"/>
    <w:rsid w:val="00A83F59"/>
    <w:rsid w:val="00AE3137"/>
    <w:rsid w:val="00CF3A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AB9"/>
    <w:rPr>
      <w:rFonts w:ascii="APS-DV-Priyanka" w:hAnsi="APS-DV-Priyank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CF3AB9"/>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CF3AB9"/>
    <w:rPr>
      <w:rFonts w:ascii="APS-DV-Priyanka" w:hAnsi="APS-DV-Priyanka"/>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2015-06-21T10:55:00Z</dcterms:created>
  <dcterms:modified xsi:type="dcterms:W3CDTF">2015-06-21T10:55:00Z</dcterms:modified>
</cp:coreProperties>
</file>